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6D77E212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B6C4A3D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shall comply with titles of parameters and their measuring units given in annexes of this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>They should not be included to nameplates,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for switching of capacitor bank;</w:t>
      </w:r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if there are no additional easy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Hz withstand voltage across the isolating distance 1 min.;</w:t>
      </w:r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>Highest voltage for equipment;</w:t>
      </w:r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kV;</w:t>
      </w:r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Power frequency 50 Hz withstand voltage across the isolating distance 1 min.;</w:t>
      </w:r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Capacitance between the high-voltage conductor and the test tap</w:t>
      </w:r>
      <w:r>
        <w:rPr>
          <w:rFonts w:ascii="Arial" w:hAnsi="Arial" w:cs="Arial"/>
          <w:sz w:val="18"/>
          <w:szCs w:val="18"/>
          <w:lang w:val="en-US"/>
        </w:rPr>
        <w:t>;</w:t>
      </w:r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apacitance between the test tap and the housing;</w:t>
      </w:r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9FF1" w14:textId="77777777" w:rsidR="00A53ABC" w:rsidRDefault="00A53ABC" w:rsidP="008555D7">
      <w:r>
        <w:separator/>
      </w:r>
    </w:p>
  </w:endnote>
  <w:endnote w:type="continuationSeparator" w:id="0">
    <w:p w14:paraId="41A56329" w14:textId="77777777" w:rsidR="00A53ABC" w:rsidRDefault="00A53ABC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CF92" w14:textId="77777777" w:rsidR="00A53ABC" w:rsidRDefault="00A53ABC" w:rsidP="008555D7">
      <w:r>
        <w:separator/>
      </w:r>
    </w:p>
  </w:footnote>
  <w:footnote w:type="continuationSeparator" w:id="0">
    <w:p w14:paraId="58C68F9E" w14:textId="77777777" w:rsidR="00A53ABC" w:rsidRDefault="00A53ABC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35A95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3ABC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PVIS-217404775-324</_dlc_DocId>
    <_dlc_DocIdUrl xmlns="58896280-883f-49e1-8f2c-86b01e3ff616">
      <Url>https://projektai.intranet.litgrid.eu/PWA/Griškonių%20TP/_layouts/15/DocIdRedir.aspx?ID=PVIS-217404775-324</Url>
      <Description>PVIS-217404775-324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62C0B-038B-49D2-A432-198E57A8B3C0}"/>
</file>

<file path=customXml/itemProps3.xml><?xml version="1.0" encoding="utf-8"?>
<ds:datastoreItem xmlns:ds="http://schemas.openxmlformats.org/officeDocument/2006/customXml" ds:itemID="{2EB9B5B2-0649-4CC5-857F-DAECF43E02CD}"/>
</file>

<file path=customXml/itemProps4.xml><?xml version="1.0" encoding="utf-8"?>
<ds:datastoreItem xmlns:ds="http://schemas.openxmlformats.org/officeDocument/2006/customXml" ds:itemID="{13BD3F35-32F9-43B8-973E-58CB35F1713B}"/>
</file>

<file path=customXml/itemProps5.xml><?xml version="1.0" encoding="utf-8"?>
<ds:datastoreItem xmlns:ds="http://schemas.openxmlformats.org/officeDocument/2006/customXml" ds:itemID="{71409BB3-4334-463F-8AB9-CFBC471CB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138</cp:revision>
  <cp:lastPrinted>2015-09-14T05:43:00Z</cp:lastPrinted>
  <dcterms:created xsi:type="dcterms:W3CDTF">2020-01-06T13:14:00Z</dcterms:created>
  <dcterms:modified xsi:type="dcterms:W3CDTF">2023-08-17T11:30:00Z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0x01010066872F3CC8F7D84995438B893169A0800200D3EF4DA05B256F4AA6FDE2B82F85ADC1</vt:lpwstr>
  </property>
  <property fmtid="{D5CDD505-2E9C-101B-9397-08002B2CF9AE}" pid="10" name="_dlc_DocIdItemGuid">
    <vt:lpwstr>96541a0e-8d51-4433-a638-6b28252a2aca</vt:lpwstr>
  </property>
</Properties>
</file>